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4B52" w:rsidRPr="00A529B6" w:rsidRDefault="001C4B52" w:rsidP="001C4B52">
      <w:pPr>
        <w:pStyle w:val="Title"/>
        <w:ind w:firstLine="720"/>
        <w:jc w:val="left"/>
        <w:rPr>
          <w:szCs w:val="24"/>
        </w:rPr>
      </w:pPr>
      <w:r w:rsidRPr="00A529B6">
        <w:rPr>
          <w:szCs w:val="24"/>
        </w:rPr>
        <w:t xml:space="preserve">SOR Member Declaration </w:t>
      </w:r>
      <w:r w:rsidRPr="00A529B6">
        <w:rPr>
          <w:szCs w:val="24"/>
        </w:rPr>
        <w:t>Statement</w:t>
      </w:r>
      <w:r w:rsidRPr="001C4B52">
        <w:rPr>
          <w:b w:val="0"/>
          <w:szCs w:val="24"/>
          <w:u w:val="none"/>
        </w:rPr>
        <w:t xml:space="preserve"> </w:t>
      </w:r>
      <w:r w:rsidRPr="001C4B52">
        <w:rPr>
          <w:b w:val="0"/>
          <w:i/>
          <w:szCs w:val="24"/>
          <w:u w:val="none"/>
        </w:rPr>
        <w:t>(Letterhead with sign and Stamp)</w:t>
      </w:r>
    </w:p>
    <w:p w:rsidR="001C4B52" w:rsidRPr="00A529B6" w:rsidRDefault="001C4B52" w:rsidP="001C4B52">
      <w:pPr>
        <w:pStyle w:val="Title"/>
        <w:jc w:val="left"/>
        <w:rPr>
          <w:szCs w:val="24"/>
        </w:rPr>
      </w:pPr>
      <w:bookmarkStart w:id="0" w:name="_GoBack"/>
      <w:bookmarkEnd w:id="0"/>
    </w:p>
    <w:p w:rsidR="001C4B52" w:rsidRPr="00A529B6" w:rsidRDefault="001C4B52" w:rsidP="001C4B52">
      <w:pPr>
        <w:numPr>
          <w:ilvl w:val="0"/>
          <w:numId w:val="1"/>
        </w:numPr>
        <w:spacing w:after="0"/>
        <w:jc w:val="both"/>
        <w:rPr>
          <w:rFonts w:ascii="Times New Roman" w:hAnsi="Times New Roman"/>
          <w:sz w:val="24"/>
          <w:szCs w:val="24"/>
        </w:rPr>
      </w:pPr>
      <w:r w:rsidRPr="00A529B6">
        <w:rPr>
          <w:rFonts w:ascii="Times New Roman" w:hAnsi="Times New Roman"/>
          <w:sz w:val="24"/>
          <w:szCs w:val="24"/>
        </w:rPr>
        <w:t>The Smart Order Routing shall route orders in a neutral manner.</w:t>
      </w:r>
    </w:p>
    <w:p w:rsidR="001C4B52" w:rsidRPr="00A529B6" w:rsidRDefault="001C4B52" w:rsidP="001C4B52">
      <w:pPr>
        <w:ind w:left="360"/>
        <w:jc w:val="both"/>
        <w:rPr>
          <w:rFonts w:ascii="Times New Roman" w:hAnsi="Times New Roman"/>
          <w:sz w:val="24"/>
          <w:szCs w:val="24"/>
        </w:rPr>
      </w:pPr>
      <w:r w:rsidRPr="00A529B6">
        <w:rPr>
          <w:rFonts w:ascii="Times New Roman" w:hAnsi="Times New Roman"/>
          <w:sz w:val="24"/>
          <w:szCs w:val="24"/>
        </w:rPr>
        <w:t xml:space="preserve"> </w:t>
      </w:r>
    </w:p>
    <w:p w:rsidR="001C4B52" w:rsidRPr="00A529B6" w:rsidRDefault="001C4B52" w:rsidP="001C4B52">
      <w:pPr>
        <w:numPr>
          <w:ilvl w:val="0"/>
          <w:numId w:val="1"/>
        </w:numPr>
        <w:spacing w:after="0"/>
        <w:jc w:val="both"/>
        <w:rPr>
          <w:rFonts w:ascii="Times New Roman" w:hAnsi="Times New Roman"/>
          <w:sz w:val="24"/>
          <w:szCs w:val="24"/>
        </w:rPr>
      </w:pPr>
      <w:r w:rsidRPr="00A529B6">
        <w:rPr>
          <w:rFonts w:ascii="Times New Roman" w:hAnsi="Times New Roman"/>
          <w:sz w:val="24"/>
          <w:szCs w:val="24"/>
        </w:rPr>
        <w:t>The broker should be fully responsible and liable for all orders emanating through their SOR systems.  It shall be the responsibility of the broker to ensure that only clients who fulfill the eligibility criteria are permitted to use the SOR facility.</w:t>
      </w:r>
    </w:p>
    <w:p w:rsidR="001C4B52" w:rsidRPr="00A529B6" w:rsidRDefault="001C4B52" w:rsidP="001C4B52">
      <w:pPr>
        <w:jc w:val="both"/>
        <w:rPr>
          <w:rFonts w:ascii="Times New Roman" w:hAnsi="Times New Roman"/>
          <w:sz w:val="24"/>
          <w:szCs w:val="24"/>
        </w:rPr>
      </w:pPr>
    </w:p>
    <w:p w:rsidR="001C4B52" w:rsidRPr="00A529B6" w:rsidRDefault="001C4B52" w:rsidP="001C4B52">
      <w:pPr>
        <w:numPr>
          <w:ilvl w:val="0"/>
          <w:numId w:val="1"/>
        </w:numPr>
        <w:spacing w:after="0"/>
        <w:jc w:val="both"/>
        <w:rPr>
          <w:rFonts w:ascii="Times New Roman" w:hAnsi="Times New Roman"/>
          <w:sz w:val="24"/>
          <w:szCs w:val="24"/>
        </w:rPr>
      </w:pPr>
      <w:r w:rsidRPr="00A529B6">
        <w:rPr>
          <w:rFonts w:ascii="Times New Roman" w:hAnsi="Times New Roman"/>
          <w:sz w:val="24"/>
          <w:szCs w:val="24"/>
        </w:rPr>
        <w:t>Brokers using SOR facility for routing client orders shall not be allowed to cross trades of their clients with each other. All orders must be offered to the market for matching</w:t>
      </w:r>
    </w:p>
    <w:p w:rsidR="001C4B52" w:rsidRPr="00A529B6" w:rsidRDefault="001C4B52" w:rsidP="001C4B52">
      <w:pPr>
        <w:jc w:val="both"/>
        <w:rPr>
          <w:rFonts w:ascii="Times New Roman" w:hAnsi="Times New Roman"/>
          <w:color w:val="FF0000"/>
          <w:sz w:val="24"/>
          <w:szCs w:val="24"/>
        </w:rPr>
      </w:pPr>
    </w:p>
    <w:p w:rsidR="001C4B52" w:rsidRPr="00A529B6" w:rsidRDefault="001C4B52" w:rsidP="001C4B52">
      <w:pPr>
        <w:numPr>
          <w:ilvl w:val="0"/>
          <w:numId w:val="1"/>
        </w:numPr>
        <w:spacing w:after="0"/>
        <w:jc w:val="both"/>
        <w:rPr>
          <w:rFonts w:ascii="Times New Roman" w:hAnsi="Times New Roman"/>
          <w:sz w:val="24"/>
          <w:szCs w:val="24"/>
        </w:rPr>
      </w:pPr>
      <w:r w:rsidRPr="00A529B6">
        <w:rPr>
          <w:rFonts w:ascii="Times New Roman" w:hAnsi="Times New Roman"/>
          <w:sz w:val="24"/>
          <w:szCs w:val="24"/>
        </w:rPr>
        <w:t xml:space="preserve">The SOR application is so designed, configured and integrated with Order Routing server (ORS) so as to route the SOR orders only through electronic / automated risk management system (RMS). The SOR application does not allow any orders to bypass the RMS.  </w:t>
      </w:r>
    </w:p>
    <w:p w:rsidR="001C4B52" w:rsidRPr="00A529B6" w:rsidRDefault="001C4B52" w:rsidP="001C4B52">
      <w:pPr>
        <w:jc w:val="both"/>
        <w:rPr>
          <w:rFonts w:ascii="Times New Roman" w:hAnsi="Times New Roman"/>
          <w:color w:val="FF0000"/>
          <w:sz w:val="24"/>
          <w:szCs w:val="24"/>
        </w:rPr>
      </w:pPr>
    </w:p>
    <w:p w:rsidR="001C4B52" w:rsidRPr="00A529B6" w:rsidRDefault="001C4B52" w:rsidP="001C4B52">
      <w:pPr>
        <w:numPr>
          <w:ilvl w:val="0"/>
          <w:numId w:val="1"/>
        </w:numPr>
        <w:spacing w:after="0"/>
        <w:jc w:val="both"/>
        <w:rPr>
          <w:rFonts w:ascii="Times New Roman" w:hAnsi="Times New Roman"/>
          <w:sz w:val="24"/>
          <w:szCs w:val="24"/>
        </w:rPr>
      </w:pPr>
      <w:r w:rsidRPr="00A529B6">
        <w:rPr>
          <w:rFonts w:ascii="Times New Roman" w:hAnsi="Times New Roman"/>
          <w:sz w:val="24"/>
          <w:szCs w:val="24"/>
        </w:rPr>
        <w:t>The Trading Limits / Exposure Limits / Position Limits have been set for all the SOR clients based on risk assessment, credit quality and available margins.</w:t>
      </w:r>
    </w:p>
    <w:p w:rsidR="001C4B52" w:rsidRPr="00A529B6" w:rsidRDefault="001C4B52" w:rsidP="001C4B52">
      <w:pPr>
        <w:jc w:val="both"/>
        <w:rPr>
          <w:rFonts w:ascii="Times New Roman" w:hAnsi="Times New Roman"/>
          <w:sz w:val="24"/>
          <w:szCs w:val="24"/>
        </w:rPr>
      </w:pPr>
    </w:p>
    <w:p w:rsidR="001C4B52" w:rsidRPr="00A529B6" w:rsidRDefault="001C4B52" w:rsidP="001C4B52">
      <w:pPr>
        <w:numPr>
          <w:ilvl w:val="0"/>
          <w:numId w:val="1"/>
        </w:numPr>
        <w:spacing w:after="0"/>
        <w:jc w:val="both"/>
        <w:rPr>
          <w:rFonts w:ascii="Times New Roman" w:hAnsi="Times New Roman"/>
          <w:sz w:val="24"/>
          <w:szCs w:val="24"/>
        </w:rPr>
      </w:pPr>
      <w:r w:rsidRPr="00A529B6">
        <w:rPr>
          <w:rFonts w:ascii="Times New Roman" w:hAnsi="Times New Roman"/>
          <w:sz w:val="24"/>
          <w:szCs w:val="24"/>
        </w:rPr>
        <w:t>Appropriate authority levels have been setup to ensure that the limits can be set only by person authorized by compliance  / risk manager</w:t>
      </w:r>
    </w:p>
    <w:p w:rsidR="001C4B52" w:rsidRPr="00A529B6" w:rsidRDefault="001C4B52" w:rsidP="001C4B52">
      <w:pPr>
        <w:jc w:val="both"/>
        <w:rPr>
          <w:rFonts w:ascii="Times New Roman" w:hAnsi="Times New Roman"/>
          <w:sz w:val="24"/>
          <w:szCs w:val="24"/>
        </w:rPr>
      </w:pPr>
    </w:p>
    <w:p w:rsidR="001C4B52" w:rsidRPr="00A529B6" w:rsidRDefault="001C4B52" w:rsidP="001C4B52">
      <w:pPr>
        <w:numPr>
          <w:ilvl w:val="0"/>
          <w:numId w:val="1"/>
        </w:numPr>
        <w:spacing w:after="0"/>
        <w:jc w:val="both"/>
        <w:rPr>
          <w:rFonts w:ascii="Times New Roman" w:hAnsi="Times New Roman"/>
          <w:sz w:val="24"/>
          <w:szCs w:val="24"/>
        </w:rPr>
      </w:pPr>
      <w:r w:rsidRPr="00A529B6">
        <w:rPr>
          <w:rFonts w:ascii="Times New Roman" w:hAnsi="Times New Roman"/>
          <w:sz w:val="24"/>
          <w:szCs w:val="24"/>
        </w:rPr>
        <w:t>KYC norms shall be followed for registration and authorization of the SOR Clients.</w:t>
      </w:r>
    </w:p>
    <w:p w:rsidR="001C4B52" w:rsidRPr="00A529B6" w:rsidRDefault="001C4B52" w:rsidP="001C4B52">
      <w:pPr>
        <w:jc w:val="both"/>
        <w:rPr>
          <w:rFonts w:ascii="Times New Roman" w:hAnsi="Times New Roman"/>
          <w:sz w:val="24"/>
          <w:szCs w:val="24"/>
        </w:rPr>
      </w:pPr>
    </w:p>
    <w:p w:rsidR="001C4B52" w:rsidRPr="00A529B6" w:rsidRDefault="001C4B52" w:rsidP="001C4B52">
      <w:pPr>
        <w:numPr>
          <w:ilvl w:val="0"/>
          <w:numId w:val="1"/>
        </w:numPr>
        <w:spacing w:after="0"/>
        <w:jc w:val="both"/>
        <w:rPr>
          <w:rFonts w:ascii="Times New Roman" w:hAnsi="Times New Roman"/>
          <w:sz w:val="24"/>
          <w:szCs w:val="24"/>
        </w:rPr>
      </w:pPr>
      <w:r w:rsidRPr="00A529B6">
        <w:rPr>
          <w:rFonts w:ascii="Times New Roman" w:hAnsi="Times New Roman"/>
          <w:sz w:val="24"/>
          <w:szCs w:val="24"/>
        </w:rPr>
        <w:t>Due diligence has been carried out for the clients prior to authorization and proper records for the same are maintained.</w:t>
      </w:r>
    </w:p>
    <w:p w:rsidR="001C4B52" w:rsidRPr="00A529B6" w:rsidRDefault="001C4B52" w:rsidP="001C4B52">
      <w:pPr>
        <w:jc w:val="both"/>
        <w:rPr>
          <w:rFonts w:ascii="Times New Roman" w:hAnsi="Times New Roman"/>
          <w:sz w:val="24"/>
          <w:szCs w:val="24"/>
        </w:rPr>
      </w:pPr>
    </w:p>
    <w:p w:rsidR="001C4B52" w:rsidRPr="00A529B6" w:rsidRDefault="001C4B52" w:rsidP="001C4B52">
      <w:pPr>
        <w:numPr>
          <w:ilvl w:val="0"/>
          <w:numId w:val="1"/>
        </w:numPr>
        <w:spacing w:after="0"/>
        <w:jc w:val="both"/>
        <w:rPr>
          <w:rFonts w:ascii="Times New Roman" w:hAnsi="Times New Roman"/>
          <w:sz w:val="24"/>
          <w:szCs w:val="24"/>
        </w:rPr>
      </w:pPr>
      <w:r w:rsidRPr="00A529B6">
        <w:rPr>
          <w:rFonts w:ascii="Times New Roman" w:hAnsi="Times New Roman"/>
          <w:sz w:val="24"/>
          <w:szCs w:val="24"/>
        </w:rPr>
        <w:t>The Due Diligence covers the following: aspects:</w:t>
      </w:r>
    </w:p>
    <w:p w:rsidR="001C4B52" w:rsidRPr="00A529B6" w:rsidRDefault="001C4B52" w:rsidP="001C4B52">
      <w:pPr>
        <w:numPr>
          <w:ilvl w:val="1"/>
          <w:numId w:val="1"/>
        </w:numPr>
        <w:spacing w:after="0"/>
        <w:jc w:val="both"/>
        <w:rPr>
          <w:rFonts w:ascii="Times New Roman" w:hAnsi="Times New Roman"/>
          <w:sz w:val="24"/>
          <w:szCs w:val="24"/>
        </w:rPr>
      </w:pPr>
      <w:r w:rsidRPr="00A529B6">
        <w:rPr>
          <w:rFonts w:ascii="Times New Roman" w:hAnsi="Times New Roman"/>
          <w:sz w:val="24"/>
          <w:szCs w:val="24"/>
        </w:rPr>
        <w:t>Clients credit worthiness</w:t>
      </w:r>
    </w:p>
    <w:p w:rsidR="001C4B52" w:rsidRPr="00A529B6" w:rsidRDefault="001C4B52" w:rsidP="001C4B52">
      <w:pPr>
        <w:numPr>
          <w:ilvl w:val="1"/>
          <w:numId w:val="1"/>
        </w:numPr>
        <w:spacing w:after="0"/>
        <w:jc w:val="both"/>
        <w:rPr>
          <w:rFonts w:ascii="Times New Roman" w:hAnsi="Times New Roman"/>
          <w:sz w:val="24"/>
          <w:szCs w:val="24"/>
        </w:rPr>
      </w:pPr>
      <w:r w:rsidRPr="00A529B6">
        <w:rPr>
          <w:rFonts w:ascii="Times New Roman" w:hAnsi="Times New Roman"/>
          <w:sz w:val="24"/>
          <w:szCs w:val="24"/>
        </w:rPr>
        <w:t>Risk Taking Ability</w:t>
      </w:r>
    </w:p>
    <w:p w:rsidR="001C4B52" w:rsidRPr="00A529B6" w:rsidRDefault="001C4B52" w:rsidP="001C4B52">
      <w:pPr>
        <w:numPr>
          <w:ilvl w:val="1"/>
          <w:numId w:val="1"/>
        </w:numPr>
        <w:spacing w:after="0"/>
        <w:jc w:val="both"/>
        <w:rPr>
          <w:rFonts w:ascii="Times New Roman" w:hAnsi="Times New Roman"/>
          <w:sz w:val="24"/>
          <w:szCs w:val="24"/>
        </w:rPr>
      </w:pPr>
      <w:r w:rsidRPr="00A529B6">
        <w:rPr>
          <w:rFonts w:ascii="Times New Roman" w:hAnsi="Times New Roman"/>
          <w:sz w:val="24"/>
          <w:szCs w:val="24"/>
        </w:rPr>
        <w:t>Track Record of compliance</w:t>
      </w:r>
    </w:p>
    <w:p w:rsidR="001C4B52" w:rsidRPr="00A529B6" w:rsidRDefault="001C4B52" w:rsidP="001C4B52">
      <w:pPr>
        <w:numPr>
          <w:ilvl w:val="1"/>
          <w:numId w:val="1"/>
        </w:numPr>
        <w:spacing w:after="0"/>
        <w:jc w:val="both"/>
        <w:rPr>
          <w:rFonts w:ascii="Times New Roman" w:hAnsi="Times New Roman"/>
          <w:sz w:val="24"/>
          <w:szCs w:val="24"/>
        </w:rPr>
      </w:pPr>
      <w:r w:rsidRPr="00A529B6">
        <w:rPr>
          <w:rFonts w:ascii="Times New Roman" w:hAnsi="Times New Roman"/>
          <w:sz w:val="24"/>
          <w:szCs w:val="24"/>
        </w:rPr>
        <w:t>Financial Soundness</w:t>
      </w:r>
    </w:p>
    <w:p w:rsidR="001C4B52" w:rsidRPr="00A529B6" w:rsidRDefault="001C4B52" w:rsidP="001C4B52">
      <w:pPr>
        <w:ind w:left="360"/>
        <w:jc w:val="both"/>
        <w:rPr>
          <w:rFonts w:ascii="Times New Roman" w:hAnsi="Times New Roman"/>
          <w:sz w:val="24"/>
          <w:szCs w:val="24"/>
        </w:rPr>
      </w:pPr>
    </w:p>
    <w:p w:rsidR="001C4B52" w:rsidRPr="00A529B6" w:rsidRDefault="001C4B52" w:rsidP="001C4B52">
      <w:pPr>
        <w:numPr>
          <w:ilvl w:val="0"/>
          <w:numId w:val="1"/>
        </w:numPr>
        <w:spacing w:after="0"/>
        <w:jc w:val="both"/>
        <w:rPr>
          <w:rFonts w:ascii="Times New Roman" w:hAnsi="Times New Roman"/>
          <w:sz w:val="24"/>
          <w:szCs w:val="24"/>
        </w:rPr>
      </w:pPr>
      <w:r w:rsidRPr="00A529B6">
        <w:rPr>
          <w:rFonts w:ascii="Times New Roman" w:hAnsi="Times New Roman"/>
          <w:sz w:val="24"/>
          <w:szCs w:val="24"/>
        </w:rPr>
        <w:t>The agreement with the client executed / to be executed does not have any clause which is less stringent / contrary to the conditions as stipulated by the Exchange and SEBI.</w:t>
      </w:r>
    </w:p>
    <w:p w:rsidR="001C4B52" w:rsidRPr="00A529B6" w:rsidRDefault="001C4B52" w:rsidP="001C4B52">
      <w:pPr>
        <w:jc w:val="both"/>
        <w:rPr>
          <w:rFonts w:ascii="Times New Roman" w:hAnsi="Times New Roman"/>
          <w:sz w:val="24"/>
          <w:szCs w:val="24"/>
        </w:rPr>
      </w:pPr>
    </w:p>
    <w:p w:rsidR="001C4B52" w:rsidRPr="00A529B6" w:rsidRDefault="001C4B52" w:rsidP="001C4B52">
      <w:pPr>
        <w:numPr>
          <w:ilvl w:val="0"/>
          <w:numId w:val="1"/>
        </w:numPr>
        <w:spacing w:after="0"/>
        <w:jc w:val="both"/>
        <w:rPr>
          <w:rFonts w:ascii="Times New Roman" w:hAnsi="Times New Roman"/>
          <w:sz w:val="24"/>
          <w:szCs w:val="24"/>
        </w:rPr>
      </w:pPr>
      <w:r w:rsidRPr="00A529B6">
        <w:rPr>
          <w:rFonts w:ascii="Times New Roman" w:hAnsi="Times New Roman"/>
          <w:sz w:val="24"/>
          <w:szCs w:val="24"/>
        </w:rPr>
        <w:t>The exchange shall be provided with the details of all user-ids activated for SOR in the prescribed format, in the prescribed duration.</w:t>
      </w:r>
    </w:p>
    <w:p w:rsidR="00FE2EDD" w:rsidRDefault="00FE2EDD"/>
    <w:sectPr w:rsidR="00FE2ED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589" w:rsidRDefault="005B0589" w:rsidP="001C4B52">
      <w:pPr>
        <w:spacing w:after="0"/>
      </w:pPr>
      <w:r>
        <w:separator/>
      </w:r>
    </w:p>
  </w:endnote>
  <w:endnote w:type="continuationSeparator" w:id="0">
    <w:p w:rsidR="005B0589" w:rsidRDefault="005B0589" w:rsidP="001C4B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589" w:rsidRDefault="005B0589" w:rsidP="001C4B52">
      <w:pPr>
        <w:spacing w:after="0"/>
      </w:pPr>
      <w:r>
        <w:separator/>
      </w:r>
    </w:p>
  </w:footnote>
  <w:footnote w:type="continuationSeparator" w:id="0">
    <w:p w:rsidR="005B0589" w:rsidRDefault="005B0589" w:rsidP="001C4B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3E502D"/>
    <w:multiLevelType w:val="hybridMultilevel"/>
    <w:tmpl w:val="4CE07E1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A3C"/>
    <w:rsid w:val="00157010"/>
    <w:rsid w:val="001C4B52"/>
    <w:rsid w:val="005B0589"/>
    <w:rsid w:val="008A3A3C"/>
    <w:rsid w:val="00FE2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1A10DC-03F4-415E-96DD-93508F64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B52"/>
    <w:pPr>
      <w:spacing w:after="120" w:line="240" w:lineRule="auto"/>
    </w:pPr>
    <w:rPr>
      <w:rFonts w:ascii="Century Gothic" w:eastAsia="Times New Roman" w:hAnsi="Century Gothic"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C4B52"/>
    <w:pPr>
      <w:spacing w:after="0"/>
      <w:jc w:val="center"/>
    </w:pPr>
    <w:rPr>
      <w:rFonts w:ascii="Times New Roman" w:hAnsi="Times New Roman"/>
      <w:b/>
      <w:bCs/>
      <w:sz w:val="24"/>
      <w:u w:val="single"/>
    </w:rPr>
  </w:style>
  <w:style w:type="character" w:customStyle="1" w:styleId="TitleChar">
    <w:name w:val="Title Char"/>
    <w:basedOn w:val="DefaultParagraphFont"/>
    <w:link w:val="Title"/>
    <w:rsid w:val="001C4B52"/>
    <w:rPr>
      <w:rFonts w:ascii="Times New Roman" w:eastAsia="Times New Roman" w:hAnsi="Times New Roman" w:cs="Times New Roman"/>
      <w:b/>
      <w:bCs/>
      <w:sz w:val="24"/>
      <w:szCs w:val="20"/>
      <w:u w:val="single"/>
    </w:rPr>
  </w:style>
  <w:style w:type="paragraph" w:styleId="Header">
    <w:name w:val="header"/>
    <w:basedOn w:val="Normal"/>
    <w:link w:val="HeaderChar"/>
    <w:uiPriority w:val="99"/>
    <w:unhideWhenUsed/>
    <w:rsid w:val="001C4B52"/>
    <w:pPr>
      <w:tabs>
        <w:tab w:val="center" w:pos="4680"/>
        <w:tab w:val="right" w:pos="9360"/>
      </w:tabs>
      <w:spacing w:after="0"/>
    </w:pPr>
  </w:style>
  <w:style w:type="character" w:customStyle="1" w:styleId="HeaderChar">
    <w:name w:val="Header Char"/>
    <w:basedOn w:val="DefaultParagraphFont"/>
    <w:link w:val="Header"/>
    <w:uiPriority w:val="99"/>
    <w:rsid w:val="001C4B52"/>
    <w:rPr>
      <w:rFonts w:ascii="Century Gothic" w:eastAsia="Times New Roman" w:hAnsi="Century Gothic" w:cs="Times New Roman"/>
      <w:sz w:val="20"/>
      <w:szCs w:val="20"/>
    </w:rPr>
  </w:style>
  <w:style w:type="paragraph" w:styleId="Footer">
    <w:name w:val="footer"/>
    <w:basedOn w:val="Normal"/>
    <w:link w:val="FooterChar"/>
    <w:uiPriority w:val="99"/>
    <w:unhideWhenUsed/>
    <w:rsid w:val="001C4B52"/>
    <w:pPr>
      <w:tabs>
        <w:tab w:val="center" w:pos="4680"/>
        <w:tab w:val="right" w:pos="9360"/>
      </w:tabs>
      <w:spacing w:after="0"/>
    </w:pPr>
  </w:style>
  <w:style w:type="character" w:customStyle="1" w:styleId="FooterChar">
    <w:name w:val="Footer Char"/>
    <w:basedOn w:val="DefaultParagraphFont"/>
    <w:link w:val="Footer"/>
    <w:uiPriority w:val="99"/>
    <w:rsid w:val="001C4B52"/>
    <w:rPr>
      <w:rFonts w:ascii="Century Gothic" w:eastAsia="Times New Roman" w:hAnsi="Century Gothic"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265</Words>
  <Characters>1517</Characters>
  <Application>Microsoft Office Word</Application>
  <DocSecurity>0</DocSecurity>
  <Lines>12</Lines>
  <Paragraphs>3</Paragraphs>
  <ScaleCrop>false</ScaleCrop>
  <Company/>
  <LinksUpToDate>false</LinksUpToDate>
  <CharactersWithSpaces>1779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Jalpesh Jansari</dc:creator>
  <cp:keywords/>
  <dc:description/>
  <cp:lastModifiedBy>Jalpesh Jansari</cp:lastModifiedBy>
  <cp:revision>2</cp:revision>
  <dcterms:created xsi:type="dcterms:W3CDTF">2017-09-19T07:50:00Z</dcterms:created>
  <dcterms:modified xsi:type="dcterms:W3CDTF">2017-09-19T07:51:00Z</dcterms:modified>
</cp:coreProperties>
</file>